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color w:val="141414"/>
          <w:sz w:val="22"/>
          <w:szCs w:val="22"/>
        </w:rPr>
        <w:t xml:space="preserve">Caelion</w:t>
      </w:r>
      <w:r>
        <w:rPr>
          <w:color w:val="666666"/>
          <w:sz w:val="18"/>
          <w:szCs w:val="18"/>
        </w:rPr>
        <w:t xml:space="preserve">  ·  Método Caelion — plantilla pública</w:t>
      </w:r>
    </w:p>
    <w:p>
      <w:pPr>
        <w:pStyle w:val="TituloDoc"/>
      </w:pPr>
      <w:r>
        <w:t xml:space="preserve">Modelo de alcance — Piloto 4 semanas</w:t>
      </w:r>
    </w:p>
    <w:p>
      <w:pPr>
        <w:pStyle w:val="Sub"/>
      </w:pPr>
      <w:r>
        <w:t xml:space="preserve">Lo que debe incluir una propuesta seria de automatización, se la pidas a Caelion o a cualquier otro proveedor.</w:t>
      </w:r>
    </w:p>
    <w:p>
      <w:pPr>
        <w:pStyle w:val="Seccion"/>
      </w:pPr>
      <w:r>
        <w:t xml:space="preserve">1 · Alcance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600"/>
      </w:tblGrid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Proceso a automatizar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Un (1) proceso concreto</w:t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Tipo(s) de entrada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Definir corpus exacto: formato, origen, volumen mensual</w:t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Sistema destino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Un (1) destino y su vía de entrada (API / import / RPA)</w:t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QUÉ NO INCLUYE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Otros tipos de documento, otros destinos, reglas no pactadas</w:t>
            </w:r>
          </w:p>
        </w:tc>
      </w:tr>
    </w:tbl>
    <w:p>
      <w:pPr>
        <w:pStyle w:val="Seccion"/>
      </w:pPr>
      <w:r>
        <w:t xml:space="preserve">2 · Criterio de aceptación (por escrito, medible)</w:t>
      </w:r>
    </w:p>
    <w:p>
      <w:pPr>
        <w:pStyle w:val="ListParagraph"/>
        <w:numPr>
          <w:ilvl w:val="0"/>
          <w:numId w:val="2"/>
        </w:numPr>
      </w:pPr>
      <w:r>
        <w:t xml:space="preserve">Métrica pactada sobre el corpus definido (p. ej., precisión ≥ X% en campos clave; N casos de prueba pasando extremo a extremo).</w:t>
      </w:r>
    </w:p>
    <w:p>
      <w:pPr>
        <w:pStyle w:val="ListParagraph"/>
        <w:numPr>
          <w:ilvl w:val="0"/>
          <w:numId w:val="2"/>
        </w:numPr>
      </w:pPr>
      <w:r>
        <w:t xml:space="preserve">Cómo se mide: dataset de validación, quién lo aporta, quién verifica.</w:t>
      </w:r>
    </w:p>
    <w:p>
      <w:pPr>
        <w:pStyle w:val="ListParagraph"/>
        <w:numPr>
          <w:ilvl w:val="0"/>
          <w:numId w:val="2"/>
        </w:numPr>
      </w:pPr>
      <w:r>
        <w:t xml:space="preserve">Garantía si no se alcanza: se continúa sin coste hasta alcanzarlo o devolución pactada.</w:t>
      </w:r>
    </w:p>
    <w:p>
      <w:pPr>
        <w:pStyle w:val="Seccion"/>
      </w:pPr>
      <w:r>
        <w:t xml:space="preserve">3 · Entregables</w:t>
      </w:r>
    </w:p>
    <w:p>
      <w:pPr>
        <w:pStyle w:val="ListParagraph"/>
        <w:numPr>
          <w:ilvl w:val="0"/>
          <w:numId w:val="2"/>
        </w:numPr>
      </w:pPr>
      <w:r>
        <w:t xml:space="preserve">Sistema funcionando en producción limitada sobre datos reales.</w:t>
      </w:r>
    </w:p>
    <w:p>
      <w:pPr>
        <w:pStyle w:val="ListParagraph"/>
        <w:numPr>
          <w:ilvl w:val="0"/>
          <w:numId w:val="2"/>
        </w:numPr>
      </w:pPr>
      <w:r>
        <w:t xml:space="preserve">Medición antes/después en horas y euros (formato estándar).</w:t>
      </w:r>
    </w:p>
    <w:p>
      <w:pPr>
        <w:pStyle w:val="ListParagraph"/>
        <w:numPr>
          <w:ilvl w:val="0"/>
          <w:numId w:val="2"/>
        </w:numPr>
      </w:pPr>
      <w:r>
        <w:t xml:space="preserve">Código fuente, documentación y credenciales — propiedad del cliente.</w:t>
      </w:r>
    </w:p>
    <w:p>
      <w:pPr>
        <w:pStyle w:val="Seccion"/>
      </w:pPr>
      <w:r>
        <w:t xml:space="preserve">4 · Plazo y precio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600"/>
      </w:tblGrid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Duración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4 semanas (hasta 6 en integraciones complejas)</w:t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Precio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Cerrado, por escrito, antes de empezar. Sin sorpresas.</w:t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Cambio de alcance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Nuevo tipo de entrada, nuevo destino o reglas nuevas = presupuesto aparte</w:t>
            </w:r>
          </w:p>
        </w:tc>
      </w:tr>
    </w:tbl>
    <w:p>
      <w:pPr>
        <w:pStyle w:val="Seccion"/>
      </w:pPr>
      <w:r>
        <w:t xml:space="preserve">5 · Datos y propiedad</w:t>
      </w:r>
    </w:p>
    <w:p>
      <w:pPr>
        <w:pStyle w:val="ListParagraph"/>
        <w:numPr>
          <w:ilvl w:val="0"/>
          <w:numId w:val="2"/>
        </w:numPr>
      </w:pPr>
      <w:r>
        <w:t xml:space="preserve">Los datos no salen de la infraestructura del cliente sin permiso explícito y por escrito.</w:t>
      </w:r>
    </w:p>
    <w:p>
      <w:pPr>
        <w:pStyle w:val="ListParagraph"/>
        <w:numPr>
          <w:ilvl w:val="0"/>
          <w:numId w:val="2"/>
        </w:numPr>
      </w:pPr>
      <w:r>
        <w:t xml:space="preserve">Accesos mínimos necesarios, documentados y revocables.</w:t>
      </w:r>
    </w:p>
    <w:p>
      <w:pPr>
        <w:pStyle w:val="ListParagraph"/>
        <w:numPr>
          <w:ilvl w:val="0"/>
          <w:numId w:val="2"/>
        </w:numPr>
      </w:pPr>
      <w:r>
        <w:t xml:space="preserve">El código es del cliente desde el día 1: si mañana cambia de proveedor, todo sigue funcionando.</w:t>
      </w:r>
    </w:p>
    <w:p>
      <w:pPr>
        <w:pStyle w:val="Pie"/>
      </w:pPr>
      <w:r>
        <w:t xml:space="preserve">Plantilla pública del Método Caelion — úsala como checklist para comparar propuestas. Si una propuesta no puede rellenar estos 5 bloques por escrito, no es una propuesta: es una promesa.</w:t>
      </w:r>
    </w:p>
    <w:sectPr>
      <w:pgSz w:w="11906" w:h="16838" w:orient="portrait"/>
      <w:pgMar w:top="900" w:right="1100" w:bottom="9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41414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uloDoc">
    <w:name w:val="TituloDoc"/>
    <w:basedOn w:val="Normal"/>
    <w:pPr>
      <w:spacing w:after="60"/>
    </w:pPr>
    <w:rPr>
      <w:b/>
      <w:bCs/>
      <w:color w:val="141414"/>
      <w:sz w:val="40"/>
      <w:szCs w:val="40"/>
    </w:rPr>
  </w:style>
  <w:style w:type="paragraph" w:styleId="Sub">
    <w:name w:val="Sub"/>
    <w:basedOn w:val="Normal"/>
    <w:pPr>
      <w:spacing w:after="240"/>
    </w:pPr>
    <w:rPr>
      <w:color w:val="666666"/>
      <w:sz w:val="20"/>
      <w:szCs w:val="20"/>
    </w:rPr>
  </w:style>
  <w:style w:type="paragraph" w:styleId="Seccion">
    <w:name w:val="Seccion"/>
    <w:basedOn w:val="Normal"/>
    <w:pPr>
      <w:pBdr>
        <w:bottom w:val="single" w:color="1FB673" w:sz="6" w:space="2"/>
      </w:pBdr>
      <w:spacing w:after="100" w:before="240"/>
    </w:pPr>
    <w:rPr>
      <w:b/>
      <w:bCs/>
      <w:color w:val="141414"/>
      <w:sz w:val="24"/>
      <w:szCs w:val="24"/>
    </w:rPr>
  </w:style>
  <w:style w:type="paragraph" w:styleId="Pie">
    <w:name w:val="Pie"/>
    <w:basedOn w:val="Normal"/>
    <w:pPr>
      <w:spacing w:before="240"/>
    </w:pPr>
    <w:rPr>
      <w:color w:val="666666"/>
      <w:sz w:val="16"/>
      <w:szCs w:val="1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2026-07-10T13:34:26.736Z</dcterms:created>
  <dcterms:modified xsi:type="dcterms:W3CDTF">2026-07-10T13:34:26.736Z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